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2CB77C1A" w:rsidR="00662A54" w:rsidRDefault="00EA74E5">
      <w:pPr>
        <w:spacing w:before="220" w:after="220"/>
        <w:rPr>
          <w:color w:val="4F4F4F"/>
          <w:sz w:val="21"/>
          <w:szCs w:val="21"/>
        </w:rPr>
      </w:pPr>
      <w:bookmarkStart w:id="0" w:name="_GoBack"/>
      <w:bookmarkEnd w:id="0"/>
      <w:r>
        <w:rPr>
          <w:color w:val="4F4F4F"/>
          <w:sz w:val="21"/>
          <w:szCs w:val="21"/>
        </w:rPr>
        <w:t>This policy regulates the admission of applicants to Undergraduate Programs at the American University of Armenia (AUA).</w:t>
      </w:r>
    </w:p>
    <w:p w14:paraId="00000002" w14:textId="77777777" w:rsidR="00662A54" w:rsidRDefault="00EA74E5">
      <w:pPr>
        <w:spacing w:before="220" w:after="220"/>
        <w:rPr>
          <w:color w:val="4F4F4F"/>
          <w:sz w:val="21"/>
          <w:szCs w:val="21"/>
        </w:rPr>
      </w:pPr>
      <w:r>
        <w:rPr>
          <w:color w:val="4F4F4F"/>
          <w:sz w:val="21"/>
          <w:szCs w:val="21"/>
        </w:rPr>
        <w:t>In collaboration with the academic programs, the Office of Admissions aims to achieve the University’s enrollment goals by providing high-quality services that attract, admit, and enroll a diverse student body prepared to succeed academically, become active members of the campus community, and strive to realize the mission and goals of the American University of Armenia.</w:t>
      </w:r>
    </w:p>
    <w:p w14:paraId="00000003" w14:textId="77777777" w:rsidR="00662A54" w:rsidRDefault="00EA74E5">
      <w:pPr>
        <w:spacing w:before="220" w:after="220"/>
        <w:rPr>
          <w:color w:val="4F4F4F"/>
          <w:sz w:val="21"/>
          <w:szCs w:val="21"/>
        </w:rPr>
      </w:pPr>
      <w:r>
        <w:rPr>
          <w:color w:val="4F4F4F"/>
          <w:sz w:val="21"/>
          <w:szCs w:val="21"/>
        </w:rPr>
        <w:t>AUA is committed to providing high-quality undergraduate education to well-qualified applicants on a non-discriminatory basis, regardless of their ability to pay. However, space in the entering class for each major is limited; thus, students are admitted on a competitive basis. The admissions process aims to select students who have the skills and ability to succeed at AUA and to assure that AUA is well-suited to their educational and career goals. Having a specific high-school grade point average or entrance exam score result is not a guarantee of admission.</w:t>
      </w:r>
    </w:p>
    <w:p w14:paraId="00000004" w14:textId="77777777" w:rsidR="00662A54" w:rsidRDefault="00EA74E5">
      <w:pPr>
        <w:spacing w:before="220" w:after="220"/>
        <w:rPr>
          <w:color w:val="4F4F4F"/>
          <w:sz w:val="21"/>
          <w:szCs w:val="21"/>
        </w:rPr>
      </w:pPr>
      <w:r>
        <w:rPr>
          <w:color w:val="4F4F4F"/>
          <w:sz w:val="21"/>
          <w:szCs w:val="21"/>
        </w:rPr>
        <w:t xml:space="preserve">The American University of Armenia is open to all academically qualified applicants and does not discriminate. See AUA’s Non-Discrimination </w:t>
      </w:r>
      <w:hyperlink r:id="rId7">
        <w:r>
          <w:rPr>
            <w:color w:val="1155CC"/>
            <w:sz w:val="21"/>
            <w:szCs w:val="21"/>
          </w:rPr>
          <w:t>policy</w:t>
        </w:r>
      </w:hyperlink>
      <w:r>
        <w:rPr>
          <w:color w:val="4F4F4F"/>
          <w:sz w:val="21"/>
          <w:szCs w:val="21"/>
        </w:rPr>
        <w:t>.</w:t>
      </w:r>
    </w:p>
    <w:p w14:paraId="00000005" w14:textId="77777777" w:rsidR="00662A54" w:rsidRDefault="00EA74E5">
      <w:pPr>
        <w:numPr>
          <w:ilvl w:val="0"/>
          <w:numId w:val="3"/>
        </w:numPr>
        <w:spacing w:before="220" w:after="220"/>
        <w:ind w:left="270" w:hanging="270"/>
        <w:rPr>
          <w:b/>
          <w:color w:val="4F4F4F"/>
          <w:sz w:val="21"/>
          <w:szCs w:val="21"/>
        </w:rPr>
      </w:pPr>
      <w:r>
        <w:rPr>
          <w:b/>
          <w:color w:val="4F4F4F"/>
          <w:sz w:val="21"/>
          <w:szCs w:val="21"/>
        </w:rPr>
        <w:t>Undergraduate Admission Application</w:t>
      </w:r>
    </w:p>
    <w:p w14:paraId="00000006" w14:textId="77777777" w:rsidR="00662A54" w:rsidRDefault="00EA74E5">
      <w:pPr>
        <w:spacing w:before="220" w:after="220"/>
        <w:rPr>
          <w:color w:val="4F4F4F"/>
          <w:sz w:val="21"/>
          <w:szCs w:val="21"/>
        </w:rPr>
      </w:pPr>
      <w:r>
        <w:rPr>
          <w:color w:val="4F4F4F"/>
          <w:sz w:val="21"/>
          <w:szCs w:val="21"/>
        </w:rPr>
        <w:t>AUA practices holistic admissions. Each application is initially screened for technical eligibility. To be eligible for admission to AUA, applicants must provide proof of high school graduation or the equivalent by no later than the summer prior to the start of their undergraduate studies and submit a complete application with all required supplements. The AUA Undergraduate Admissions Committee (UAC) then conducts a thorough review of each eligible application. Some applicants may be called for an interview as part of the admissions process if there is a reason for that. As admissions to AUA is competitive, the UAC considers both academic and personal information including but not limited to educational background, rigor of the school curriculum, official entrance exam scores, extracurricular and volunteer experience, essays, and the interview, when applicable.</w:t>
      </w:r>
    </w:p>
    <w:p w14:paraId="00000007" w14:textId="77777777" w:rsidR="00662A54" w:rsidRDefault="00EA74E5">
      <w:pPr>
        <w:spacing w:before="220" w:after="220"/>
        <w:rPr>
          <w:color w:val="4F4F4F"/>
          <w:sz w:val="21"/>
          <w:szCs w:val="21"/>
        </w:rPr>
      </w:pPr>
      <w:r>
        <w:rPr>
          <w:color w:val="4F4F4F"/>
          <w:sz w:val="21"/>
          <w:szCs w:val="21"/>
        </w:rPr>
        <w:t>Admissions decisions are final and cannot be appealed.</w:t>
      </w:r>
    </w:p>
    <w:p w14:paraId="00000008" w14:textId="77777777" w:rsidR="00662A54" w:rsidRDefault="00EA74E5">
      <w:pPr>
        <w:spacing w:before="220" w:after="220"/>
        <w:rPr>
          <w:color w:val="4F4F4F"/>
          <w:sz w:val="21"/>
          <w:szCs w:val="21"/>
        </w:rPr>
      </w:pPr>
      <w:r>
        <w:rPr>
          <w:color w:val="4F4F4F"/>
          <w:sz w:val="21"/>
          <w:szCs w:val="21"/>
        </w:rPr>
        <w:t>1.1. General Admissions Requirements</w:t>
      </w:r>
    </w:p>
    <w:p w14:paraId="00000009" w14:textId="77777777" w:rsidR="00662A54" w:rsidRDefault="00EA74E5">
      <w:pPr>
        <w:spacing w:before="220" w:after="220"/>
        <w:rPr>
          <w:color w:val="4F4F4F"/>
          <w:sz w:val="21"/>
          <w:szCs w:val="21"/>
        </w:rPr>
      </w:pPr>
      <w:r>
        <w:rPr>
          <w:color w:val="4F4F4F"/>
          <w:sz w:val="21"/>
          <w:szCs w:val="21"/>
        </w:rPr>
        <w:t>To be considered for admission to AUA's undergraduate programs, an applicant must meet the following admissions requirements:</w:t>
      </w:r>
    </w:p>
    <w:p w14:paraId="0000000A" w14:textId="77777777" w:rsidR="00662A54" w:rsidRDefault="00EA74E5">
      <w:pPr>
        <w:numPr>
          <w:ilvl w:val="0"/>
          <w:numId w:val="4"/>
        </w:numPr>
        <w:spacing w:before="220"/>
      </w:pPr>
      <w:r>
        <w:rPr>
          <w:color w:val="4F4F4F"/>
          <w:sz w:val="21"/>
          <w:szCs w:val="21"/>
        </w:rPr>
        <w:t xml:space="preserve">Complete AUA application for Admission to Undergraduate Study and all required supplements as outlined in the application instructions. Applications are available at: </w:t>
      </w:r>
      <w:hyperlink r:id="rId8">
        <w:r>
          <w:rPr>
            <w:color w:val="1155CC"/>
            <w:sz w:val="21"/>
            <w:szCs w:val="21"/>
            <w:u w:val="single"/>
          </w:rPr>
          <w:t>admissions.aua.am/apply</w:t>
        </w:r>
      </w:hyperlink>
    </w:p>
    <w:p w14:paraId="0000000B" w14:textId="77777777" w:rsidR="00662A54" w:rsidRDefault="00EA74E5">
      <w:pPr>
        <w:numPr>
          <w:ilvl w:val="0"/>
          <w:numId w:val="4"/>
        </w:numPr>
        <w:rPr>
          <w:sz w:val="21"/>
          <w:szCs w:val="21"/>
        </w:rPr>
      </w:pPr>
      <w:r>
        <w:rPr>
          <w:color w:val="4F4F4F"/>
          <w:sz w:val="21"/>
          <w:szCs w:val="21"/>
        </w:rPr>
        <w:t xml:space="preserve">Official transcript of the secondary grades of High School. The applicant has to be in his/her final year of studies at a high-school or equivalent, or has to have earned a high school or equivalency degree by the time of application submission (More information is available at </w:t>
      </w:r>
      <w:hyperlink r:id="rId9">
        <w:r>
          <w:rPr>
            <w:color w:val="1155CC"/>
            <w:sz w:val="21"/>
            <w:szCs w:val="21"/>
          </w:rPr>
          <w:t>admissions.aua.am/application-requirements/</w:t>
        </w:r>
      </w:hyperlink>
      <w:hyperlink r:id="rId10">
        <w:r>
          <w:rPr>
            <w:sz w:val="21"/>
            <w:szCs w:val="21"/>
          </w:rPr>
          <w:t>)</w:t>
        </w:r>
      </w:hyperlink>
    </w:p>
    <w:p w14:paraId="0000000C" w14:textId="77777777" w:rsidR="00662A54" w:rsidRDefault="00EA74E5">
      <w:pPr>
        <w:numPr>
          <w:ilvl w:val="0"/>
          <w:numId w:val="4"/>
        </w:numPr>
      </w:pPr>
      <w:r>
        <w:rPr>
          <w:color w:val="4F4F4F"/>
          <w:sz w:val="21"/>
          <w:szCs w:val="21"/>
        </w:rPr>
        <w:t xml:space="preserve">Proof of High School graduation no later than the summer prior to the start of undergraduate classes at AUA. More information regarding accepted equivalency degrees is available under Proof of High School Graduation </w:t>
      </w:r>
      <w:hyperlink r:id="rId11">
        <w:r>
          <w:rPr>
            <w:color w:val="1155CC"/>
            <w:sz w:val="21"/>
            <w:szCs w:val="21"/>
          </w:rPr>
          <w:t>here</w:t>
        </w:r>
      </w:hyperlink>
    </w:p>
    <w:p w14:paraId="0000000D" w14:textId="77777777" w:rsidR="00662A54" w:rsidRDefault="00EA74E5">
      <w:pPr>
        <w:numPr>
          <w:ilvl w:val="0"/>
          <w:numId w:val="4"/>
        </w:numPr>
      </w:pPr>
      <w:r>
        <w:rPr>
          <w:color w:val="4F4F4F"/>
          <w:sz w:val="21"/>
          <w:szCs w:val="21"/>
        </w:rPr>
        <w:lastRenderedPageBreak/>
        <w:t>Satisfy the English Language and Math Proficiency Requirements (section 1.2 below)</w:t>
      </w:r>
    </w:p>
    <w:p w14:paraId="0000000E" w14:textId="77777777" w:rsidR="00662A54" w:rsidRDefault="00EA74E5">
      <w:pPr>
        <w:numPr>
          <w:ilvl w:val="0"/>
          <w:numId w:val="2"/>
        </w:numPr>
      </w:pPr>
      <w:r>
        <w:rPr>
          <w:color w:val="4F4F4F"/>
          <w:sz w:val="21"/>
          <w:szCs w:val="21"/>
        </w:rPr>
        <w:t>A scan of the government-issued photo identification document (e.g. passport, national identification card)</w:t>
      </w:r>
    </w:p>
    <w:p w14:paraId="0000000F" w14:textId="77777777" w:rsidR="00662A54" w:rsidRDefault="00EA74E5">
      <w:pPr>
        <w:numPr>
          <w:ilvl w:val="0"/>
          <w:numId w:val="2"/>
        </w:numPr>
        <w:rPr>
          <w:sz w:val="21"/>
          <w:szCs w:val="21"/>
        </w:rPr>
      </w:pPr>
      <w:r>
        <w:rPr>
          <w:color w:val="4F4F4F"/>
          <w:sz w:val="21"/>
          <w:szCs w:val="21"/>
        </w:rPr>
        <w:t>A scan of the Social Services number card (for Armenian citizens only)</w:t>
      </w:r>
    </w:p>
    <w:p w14:paraId="00000010" w14:textId="77777777" w:rsidR="00662A54" w:rsidRDefault="00EA74E5">
      <w:pPr>
        <w:numPr>
          <w:ilvl w:val="0"/>
          <w:numId w:val="2"/>
        </w:numPr>
      </w:pPr>
      <w:r>
        <w:rPr>
          <w:color w:val="4F4F4F"/>
          <w:sz w:val="21"/>
          <w:szCs w:val="21"/>
        </w:rPr>
        <w:t>A recent photo of the applicant that meets the photo requirements listed in the online application instructions</w:t>
      </w:r>
    </w:p>
    <w:p w14:paraId="00000011" w14:textId="77777777" w:rsidR="00662A54" w:rsidRDefault="00EA74E5">
      <w:pPr>
        <w:numPr>
          <w:ilvl w:val="0"/>
          <w:numId w:val="2"/>
        </w:numPr>
        <w:spacing w:after="220"/>
      </w:pPr>
      <w:r>
        <w:rPr>
          <w:color w:val="4F4F4F"/>
          <w:sz w:val="21"/>
          <w:szCs w:val="21"/>
        </w:rPr>
        <w:t>Non-refundable application fee</w:t>
      </w:r>
    </w:p>
    <w:p w14:paraId="00000012" w14:textId="77777777" w:rsidR="00662A54" w:rsidRDefault="00EA74E5">
      <w:pPr>
        <w:spacing w:before="220" w:after="220"/>
        <w:rPr>
          <w:color w:val="4F4F4F"/>
          <w:sz w:val="21"/>
          <w:szCs w:val="21"/>
        </w:rPr>
      </w:pPr>
      <w:r>
        <w:rPr>
          <w:color w:val="4F4F4F"/>
          <w:sz w:val="21"/>
          <w:szCs w:val="21"/>
        </w:rPr>
        <w:t>1.2. Entrance Exam/Standardized Test Requirements</w:t>
      </w:r>
    </w:p>
    <w:p w14:paraId="00000013" w14:textId="77777777" w:rsidR="00662A54" w:rsidRDefault="00EA74E5">
      <w:pPr>
        <w:spacing w:before="220" w:after="220"/>
        <w:ind w:left="360"/>
        <w:rPr>
          <w:color w:val="4F4F4F"/>
          <w:sz w:val="21"/>
          <w:szCs w:val="21"/>
        </w:rPr>
      </w:pPr>
      <w:r>
        <w:rPr>
          <w:color w:val="4F4F4F"/>
          <w:sz w:val="21"/>
          <w:szCs w:val="21"/>
        </w:rPr>
        <w:t>A. English Language Proficiency</w:t>
      </w:r>
    </w:p>
    <w:p w14:paraId="00000014" w14:textId="77777777" w:rsidR="00662A54" w:rsidRDefault="00EA74E5">
      <w:pPr>
        <w:spacing w:before="220" w:after="220"/>
        <w:rPr>
          <w:color w:val="4F4F4F"/>
          <w:sz w:val="21"/>
          <w:szCs w:val="21"/>
        </w:rPr>
      </w:pPr>
      <w:r>
        <w:rPr>
          <w:color w:val="4F4F4F"/>
          <w:sz w:val="21"/>
          <w:szCs w:val="21"/>
        </w:rPr>
        <w:t>The language of instruction at AUA is English. As such, all applicants must demonstrate sufficient proficiency in the language to successfully participate in courses at AUA.</w:t>
      </w:r>
    </w:p>
    <w:p w14:paraId="00000015" w14:textId="77777777" w:rsidR="00662A54" w:rsidRDefault="00EA74E5">
      <w:pPr>
        <w:spacing w:before="220" w:after="220"/>
        <w:rPr>
          <w:color w:val="4F4F4F"/>
          <w:sz w:val="21"/>
          <w:szCs w:val="21"/>
        </w:rPr>
      </w:pPr>
      <w:r>
        <w:rPr>
          <w:color w:val="4F4F4F"/>
          <w:sz w:val="21"/>
          <w:szCs w:val="21"/>
        </w:rPr>
        <w:t xml:space="preserve">Applicants whose primary language is not English are required to demonstrate English language proficiency either through Test of English as a Foreign Language Internet Based Test (TOEFL </w:t>
      </w:r>
      <w:proofErr w:type="spellStart"/>
      <w:r>
        <w:rPr>
          <w:color w:val="4F4F4F"/>
          <w:sz w:val="21"/>
          <w:szCs w:val="21"/>
        </w:rPr>
        <w:t>iBT</w:t>
      </w:r>
      <w:proofErr w:type="spellEnd"/>
      <w:r>
        <w:rPr>
          <w:color w:val="4F4F4F"/>
          <w:sz w:val="21"/>
          <w:szCs w:val="21"/>
        </w:rPr>
        <w:t xml:space="preserve">) or the International English Language Testing System (IELTS Academic). Native or near-native English speakers are eligible to receive a waiver for the English Language Proficiency exam should they meet the eligibility requirements as outlined in the </w:t>
      </w:r>
      <w:r>
        <w:rPr>
          <w:i/>
          <w:color w:val="4F4F4F"/>
          <w:sz w:val="21"/>
          <w:szCs w:val="21"/>
        </w:rPr>
        <w:t>English Language Proficiency Test Waiver</w:t>
      </w:r>
      <w:r>
        <w:rPr>
          <w:color w:val="4F4F4F"/>
          <w:sz w:val="21"/>
          <w:szCs w:val="21"/>
        </w:rPr>
        <w:t xml:space="preserve"> </w:t>
      </w:r>
      <w:hyperlink r:id="rId12">
        <w:r>
          <w:rPr>
            <w:color w:val="1155CC"/>
            <w:sz w:val="21"/>
            <w:szCs w:val="21"/>
            <w:u w:val="single"/>
          </w:rPr>
          <w:t>Policy</w:t>
        </w:r>
      </w:hyperlink>
      <w:r>
        <w:rPr>
          <w:color w:val="4F4F4F"/>
          <w:sz w:val="21"/>
          <w:szCs w:val="21"/>
        </w:rPr>
        <w:t>.</w:t>
      </w:r>
    </w:p>
    <w:p w14:paraId="00000016" w14:textId="77777777" w:rsidR="00662A54" w:rsidRDefault="00EA74E5">
      <w:pPr>
        <w:spacing w:before="220" w:after="220"/>
        <w:rPr>
          <w:color w:val="4F4F4F"/>
          <w:sz w:val="21"/>
          <w:szCs w:val="21"/>
        </w:rPr>
      </w:pPr>
      <w:r>
        <w:rPr>
          <w:color w:val="4F4F4F"/>
          <w:sz w:val="21"/>
          <w:szCs w:val="21"/>
        </w:rPr>
        <w:t xml:space="preserve">Applicants should note that the UAC will consider both the officially reported total scores as well as all sub-scores at the time of application. Applicants with a 67 or lower on the TOEFL </w:t>
      </w:r>
      <w:proofErr w:type="spellStart"/>
      <w:r>
        <w:rPr>
          <w:color w:val="4F4F4F"/>
          <w:sz w:val="21"/>
          <w:szCs w:val="21"/>
        </w:rPr>
        <w:t>iBT</w:t>
      </w:r>
      <w:proofErr w:type="spellEnd"/>
      <w:r>
        <w:rPr>
          <w:color w:val="4F4F4F"/>
          <w:sz w:val="21"/>
          <w:szCs w:val="21"/>
        </w:rPr>
        <w:t xml:space="preserve"> or 5.5 or lower on the IELTS Academic will be automatically denied.</w:t>
      </w:r>
    </w:p>
    <w:p w14:paraId="00000017" w14:textId="77777777" w:rsidR="00662A54" w:rsidRDefault="00EA74E5">
      <w:pPr>
        <w:spacing w:before="220" w:after="220"/>
        <w:rPr>
          <w:color w:val="4F4F4F"/>
          <w:sz w:val="21"/>
          <w:szCs w:val="21"/>
        </w:rPr>
      </w:pPr>
      <w:r>
        <w:rPr>
          <w:color w:val="4F4F4F"/>
          <w:sz w:val="21"/>
          <w:szCs w:val="21"/>
        </w:rPr>
        <w:t xml:space="preserve">For AUA application purposes, the TOEFL </w:t>
      </w:r>
      <w:proofErr w:type="spellStart"/>
      <w:r>
        <w:rPr>
          <w:color w:val="4F4F4F"/>
          <w:sz w:val="21"/>
          <w:szCs w:val="21"/>
        </w:rPr>
        <w:t>iBT</w:t>
      </w:r>
      <w:proofErr w:type="spellEnd"/>
      <w:r>
        <w:rPr>
          <w:color w:val="4F4F4F"/>
          <w:sz w:val="21"/>
          <w:szCs w:val="21"/>
        </w:rPr>
        <w:t>/IELTS Academic scores are only valid for two years. Applicants must ensure that test scores are sent electronically to AUA by selecting the institution code:</w:t>
      </w:r>
    </w:p>
    <w:p w14:paraId="00000018" w14:textId="77777777" w:rsidR="00662A54" w:rsidRDefault="00EA74E5">
      <w:pPr>
        <w:numPr>
          <w:ilvl w:val="0"/>
          <w:numId w:val="1"/>
        </w:numPr>
        <w:spacing w:before="220"/>
      </w:pPr>
      <w:r>
        <w:rPr>
          <w:color w:val="4F4F4F"/>
          <w:sz w:val="21"/>
          <w:szCs w:val="21"/>
        </w:rPr>
        <w:t xml:space="preserve">TOEFL </w:t>
      </w:r>
      <w:proofErr w:type="spellStart"/>
      <w:r>
        <w:rPr>
          <w:color w:val="4F4F4F"/>
          <w:sz w:val="21"/>
          <w:szCs w:val="21"/>
        </w:rPr>
        <w:t>iBT</w:t>
      </w:r>
      <w:proofErr w:type="spellEnd"/>
      <w:r>
        <w:rPr>
          <w:color w:val="4F4F4F"/>
          <w:sz w:val="21"/>
          <w:szCs w:val="21"/>
        </w:rPr>
        <w:t xml:space="preserve"> - 4151</w:t>
      </w:r>
    </w:p>
    <w:p w14:paraId="00000019" w14:textId="77777777" w:rsidR="00662A54" w:rsidRDefault="00EA74E5">
      <w:pPr>
        <w:numPr>
          <w:ilvl w:val="0"/>
          <w:numId w:val="1"/>
        </w:numPr>
        <w:spacing w:after="220"/>
      </w:pPr>
      <w:r>
        <w:rPr>
          <w:color w:val="4F4F4F"/>
          <w:sz w:val="21"/>
          <w:szCs w:val="21"/>
        </w:rPr>
        <w:t xml:space="preserve">IELTS Academic - 40 </w:t>
      </w:r>
      <w:proofErr w:type="spellStart"/>
      <w:r>
        <w:rPr>
          <w:color w:val="4F4F4F"/>
          <w:sz w:val="21"/>
          <w:szCs w:val="21"/>
        </w:rPr>
        <w:t>Baghramyan</w:t>
      </w:r>
      <w:proofErr w:type="spellEnd"/>
      <w:r>
        <w:rPr>
          <w:color w:val="4F4F4F"/>
          <w:sz w:val="21"/>
          <w:szCs w:val="21"/>
        </w:rPr>
        <w:t xml:space="preserve"> Ave, Yerevan</w:t>
      </w:r>
    </w:p>
    <w:p w14:paraId="0000001A" w14:textId="77777777" w:rsidR="00662A54" w:rsidRDefault="00EA74E5">
      <w:pPr>
        <w:spacing w:before="220" w:after="220"/>
        <w:rPr>
          <w:color w:val="4F4F4F"/>
          <w:sz w:val="21"/>
          <w:szCs w:val="21"/>
        </w:rPr>
      </w:pPr>
      <w:r>
        <w:rPr>
          <w:color w:val="4F4F4F"/>
          <w:sz w:val="21"/>
          <w:szCs w:val="21"/>
        </w:rPr>
        <w:t xml:space="preserve">Applications are not considered complete until the Office of Admissions has received the English language proficiency official score reports. </w:t>
      </w:r>
    </w:p>
    <w:p w14:paraId="0000001B" w14:textId="77777777" w:rsidR="00662A54" w:rsidRDefault="00EA74E5">
      <w:pPr>
        <w:spacing w:before="220" w:after="220"/>
        <w:ind w:firstLine="720"/>
        <w:rPr>
          <w:color w:val="4F4F4F"/>
          <w:sz w:val="21"/>
          <w:szCs w:val="21"/>
        </w:rPr>
      </w:pPr>
      <w:r>
        <w:rPr>
          <w:color w:val="4F4F4F"/>
          <w:sz w:val="21"/>
          <w:szCs w:val="21"/>
        </w:rPr>
        <w:t>B. Math Proficiency</w:t>
      </w:r>
    </w:p>
    <w:p w14:paraId="0000001C" w14:textId="77777777" w:rsidR="00662A54" w:rsidRDefault="00EA74E5">
      <w:pPr>
        <w:spacing w:before="220" w:after="220"/>
        <w:rPr>
          <w:color w:val="4F4F4F"/>
          <w:sz w:val="21"/>
          <w:szCs w:val="21"/>
        </w:rPr>
      </w:pPr>
      <w:r>
        <w:rPr>
          <w:color w:val="4F4F4F"/>
          <w:sz w:val="21"/>
          <w:szCs w:val="21"/>
        </w:rPr>
        <w:t xml:space="preserve">Applicants are required to demonstrate proficiency in mathematics at the time of application. Available math proficiency exams include the SAT or the ACT. Some applicants may be eligible to receive a math waiver. Refer to point 2b of </w:t>
      </w:r>
      <w:hyperlink r:id="rId13">
        <w:r>
          <w:rPr>
            <w:color w:val="1155CC"/>
            <w:sz w:val="21"/>
            <w:szCs w:val="21"/>
            <w:u w:val="single"/>
          </w:rPr>
          <w:t>Application Requirements - AUA Admissions</w:t>
        </w:r>
      </w:hyperlink>
      <w:r>
        <w:rPr>
          <w:color w:val="4F4F4F"/>
          <w:sz w:val="21"/>
          <w:szCs w:val="21"/>
        </w:rPr>
        <w:t xml:space="preserve"> for more details.</w:t>
      </w:r>
    </w:p>
    <w:p w14:paraId="0000001D" w14:textId="77777777" w:rsidR="00662A54" w:rsidRDefault="00EA74E5">
      <w:pPr>
        <w:spacing w:before="220" w:after="220"/>
        <w:rPr>
          <w:color w:val="4F4F4F"/>
          <w:sz w:val="21"/>
          <w:szCs w:val="21"/>
        </w:rPr>
      </w:pPr>
      <w:r>
        <w:rPr>
          <w:color w:val="4F4F4F"/>
          <w:sz w:val="21"/>
          <w:szCs w:val="21"/>
        </w:rPr>
        <w:t>For AUA application purposes, the SAT/ACT scores are only valid for three years. Applicants must ensure official test scores are sent directly to AUA by indicating the institution code:</w:t>
      </w:r>
    </w:p>
    <w:p w14:paraId="0000001E" w14:textId="77777777" w:rsidR="00662A54" w:rsidRDefault="00EA74E5">
      <w:pPr>
        <w:numPr>
          <w:ilvl w:val="0"/>
          <w:numId w:val="5"/>
        </w:numPr>
        <w:spacing w:before="220"/>
      </w:pPr>
      <w:r>
        <w:rPr>
          <w:color w:val="4F4F4F"/>
          <w:sz w:val="21"/>
          <w:szCs w:val="21"/>
        </w:rPr>
        <w:t>SAT – 7257</w:t>
      </w:r>
    </w:p>
    <w:p w14:paraId="0000001F" w14:textId="77777777" w:rsidR="00662A54" w:rsidRDefault="00EA74E5">
      <w:pPr>
        <w:numPr>
          <w:ilvl w:val="0"/>
          <w:numId w:val="5"/>
        </w:numPr>
        <w:spacing w:after="220"/>
      </w:pPr>
      <w:r>
        <w:rPr>
          <w:color w:val="4F4F4F"/>
          <w:sz w:val="21"/>
          <w:szCs w:val="21"/>
        </w:rPr>
        <w:t>ACT – 6982</w:t>
      </w:r>
    </w:p>
    <w:p w14:paraId="00000020" w14:textId="77777777" w:rsidR="00662A54" w:rsidRDefault="00EA74E5">
      <w:pPr>
        <w:spacing w:before="220" w:after="220"/>
        <w:rPr>
          <w:color w:val="4F4F4F"/>
          <w:sz w:val="21"/>
          <w:szCs w:val="21"/>
        </w:rPr>
      </w:pPr>
      <w:r>
        <w:rPr>
          <w:color w:val="4F4F4F"/>
          <w:sz w:val="21"/>
          <w:szCs w:val="21"/>
        </w:rPr>
        <w:lastRenderedPageBreak/>
        <w:t xml:space="preserve">Applications are not considered complete until the Office of Admissions has received the math proficiency official score reports. </w:t>
      </w:r>
    </w:p>
    <w:p w14:paraId="00000021" w14:textId="77777777" w:rsidR="00662A54" w:rsidRDefault="00662A54">
      <w:pPr>
        <w:spacing w:before="220" w:after="220"/>
        <w:rPr>
          <w:color w:val="4F4F4F"/>
          <w:sz w:val="21"/>
          <w:szCs w:val="21"/>
        </w:rPr>
      </w:pPr>
    </w:p>
    <w:p w14:paraId="00000022" w14:textId="77777777" w:rsidR="00662A54" w:rsidRDefault="00EA74E5">
      <w:pPr>
        <w:spacing w:before="220" w:after="220"/>
        <w:rPr>
          <w:color w:val="4F4F4F"/>
          <w:sz w:val="21"/>
          <w:szCs w:val="21"/>
        </w:rPr>
      </w:pPr>
      <w:r>
        <w:rPr>
          <w:color w:val="4F4F4F"/>
          <w:sz w:val="21"/>
          <w:szCs w:val="21"/>
        </w:rPr>
        <w:t>1.3. Automatic Denial Thresholds</w:t>
      </w:r>
    </w:p>
    <w:p w14:paraId="00000023" w14:textId="77777777" w:rsidR="00662A54" w:rsidRDefault="00EA74E5">
      <w:pPr>
        <w:spacing w:before="220" w:after="220"/>
        <w:rPr>
          <w:color w:val="4F4F4F"/>
          <w:sz w:val="21"/>
          <w:szCs w:val="21"/>
        </w:rPr>
      </w:pPr>
      <w:r>
        <w:rPr>
          <w:color w:val="4F4F4F"/>
          <w:sz w:val="21"/>
          <w:szCs w:val="21"/>
        </w:rPr>
        <w:t>Auto-denial threshold scores are those set by the University’s programs and approved by the Undergraduate Admission Committee, whereby an applicant will be automatically denied admission if he/she scores at or below these mentioned scores</w:t>
      </w:r>
      <w:r>
        <w:rPr>
          <w:color w:val="4F4F4F"/>
          <w:sz w:val="23"/>
          <w:szCs w:val="23"/>
          <w:shd w:val="clear" w:color="auto" w:fill="F7F7F7"/>
        </w:rPr>
        <w:t>.</w:t>
      </w:r>
      <w:r>
        <w:rPr>
          <w:color w:val="4F4F4F"/>
          <w:sz w:val="21"/>
          <w:szCs w:val="21"/>
        </w:rPr>
        <w:t xml:space="preserve"> Information regarding automatic denial thresholds is available </w:t>
      </w:r>
      <w:hyperlink r:id="rId14" w:anchor="denial">
        <w:r>
          <w:rPr>
            <w:color w:val="1155CC"/>
            <w:sz w:val="21"/>
            <w:szCs w:val="21"/>
          </w:rPr>
          <w:t xml:space="preserve">here. </w:t>
        </w:r>
      </w:hyperlink>
      <w:r>
        <w:rPr>
          <w:color w:val="4F4F4F"/>
          <w:sz w:val="21"/>
          <w:szCs w:val="21"/>
        </w:rPr>
        <w:t xml:space="preserve"> </w:t>
      </w:r>
    </w:p>
    <w:p w14:paraId="00000024" w14:textId="77777777" w:rsidR="00662A54" w:rsidRDefault="00EA74E5">
      <w:pPr>
        <w:spacing w:before="220" w:after="220"/>
        <w:rPr>
          <w:color w:val="4F4F4F"/>
          <w:sz w:val="21"/>
          <w:szCs w:val="21"/>
        </w:rPr>
      </w:pPr>
      <w:r>
        <w:rPr>
          <w:color w:val="4F4F4F"/>
          <w:sz w:val="21"/>
          <w:szCs w:val="21"/>
        </w:rPr>
        <w:t>1.4. Application Deadlines</w:t>
      </w:r>
    </w:p>
    <w:p w14:paraId="00000025" w14:textId="77777777" w:rsidR="00662A54" w:rsidRDefault="00EA74E5">
      <w:pPr>
        <w:spacing w:before="220" w:after="220"/>
        <w:rPr>
          <w:color w:val="4F4F4F"/>
          <w:sz w:val="21"/>
          <w:szCs w:val="21"/>
        </w:rPr>
      </w:pPr>
      <w:r>
        <w:rPr>
          <w:color w:val="4F4F4F"/>
          <w:sz w:val="21"/>
          <w:szCs w:val="21"/>
        </w:rPr>
        <w:t>Applicants are encouraged to submit applications as soon as possible and well before the published deadlines.</w:t>
      </w:r>
    </w:p>
    <w:p w14:paraId="00000026" w14:textId="77777777" w:rsidR="00662A54" w:rsidRDefault="00EA74E5">
      <w:pPr>
        <w:spacing w:before="220" w:after="220"/>
        <w:rPr>
          <w:color w:val="1155CC"/>
          <w:sz w:val="21"/>
          <w:szCs w:val="21"/>
        </w:rPr>
      </w:pPr>
      <w:r>
        <w:rPr>
          <w:color w:val="4F4F4F"/>
          <w:sz w:val="21"/>
          <w:szCs w:val="21"/>
        </w:rPr>
        <w:t xml:space="preserve">Application deadlines are posted online at </w:t>
      </w:r>
      <w:hyperlink r:id="rId15" w:anchor="deadline">
        <w:r>
          <w:rPr>
            <w:color w:val="1155CC"/>
            <w:sz w:val="21"/>
            <w:szCs w:val="21"/>
          </w:rPr>
          <w:t>admissions.aua.am/undergraduate/#deadline</w:t>
        </w:r>
      </w:hyperlink>
    </w:p>
    <w:p w14:paraId="00000027" w14:textId="77777777" w:rsidR="00662A54" w:rsidRDefault="00EA74E5">
      <w:pPr>
        <w:spacing w:before="220" w:after="220"/>
        <w:rPr>
          <w:color w:val="1155CC"/>
          <w:sz w:val="21"/>
          <w:szCs w:val="21"/>
        </w:rPr>
      </w:pPr>
      <w:r>
        <w:rPr>
          <w:color w:val="4F4F4F"/>
          <w:sz w:val="21"/>
          <w:szCs w:val="21"/>
        </w:rPr>
        <w:t>Any new information presented after the given admission deadline will not be taken into consideration.</w:t>
      </w:r>
    </w:p>
    <w:p w14:paraId="00000028" w14:textId="77777777" w:rsidR="00662A54" w:rsidRDefault="00EA74E5">
      <w:pPr>
        <w:spacing w:before="220" w:after="220"/>
        <w:rPr>
          <w:color w:val="4F4F4F"/>
          <w:sz w:val="21"/>
          <w:szCs w:val="21"/>
        </w:rPr>
      </w:pPr>
      <w:r>
        <w:rPr>
          <w:color w:val="4F4F4F"/>
          <w:sz w:val="21"/>
          <w:szCs w:val="21"/>
        </w:rPr>
        <w:t>1.5. Application Fee</w:t>
      </w:r>
    </w:p>
    <w:p w14:paraId="00000029" w14:textId="77777777" w:rsidR="00662A54" w:rsidRDefault="00EA74E5">
      <w:pPr>
        <w:spacing w:before="220" w:after="220"/>
        <w:rPr>
          <w:color w:val="1155CC"/>
          <w:sz w:val="21"/>
          <w:szCs w:val="21"/>
        </w:rPr>
      </w:pPr>
      <w:r>
        <w:rPr>
          <w:color w:val="4F4F4F"/>
          <w:sz w:val="21"/>
          <w:szCs w:val="21"/>
        </w:rPr>
        <w:t xml:space="preserve">Applicants and </w:t>
      </w:r>
      <w:proofErr w:type="spellStart"/>
      <w:r>
        <w:rPr>
          <w:color w:val="4F4F4F"/>
          <w:sz w:val="21"/>
          <w:szCs w:val="21"/>
        </w:rPr>
        <w:t>reapplicants</w:t>
      </w:r>
      <w:proofErr w:type="spellEnd"/>
      <w:r>
        <w:rPr>
          <w:color w:val="4F4F4F"/>
          <w:sz w:val="21"/>
          <w:szCs w:val="21"/>
        </w:rPr>
        <w:t xml:space="preserve"> submitting applications for Admission to Undergraduate Study must pay an application fee. The application fee is non-refundable and is subject to change. Please refer to </w:t>
      </w:r>
      <w:hyperlink r:id="rId16">
        <w:r>
          <w:rPr>
            <w:color w:val="1155CC"/>
            <w:sz w:val="21"/>
            <w:szCs w:val="21"/>
          </w:rPr>
          <w:t>admissions.aua.am/undergraduate/application-requirements</w:t>
        </w:r>
      </w:hyperlink>
      <w:r>
        <w:rPr>
          <w:color w:val="1155CC"/>
          <w:sz w:val="21"/>
          <w:szCs w:val="21"/>
        </w:rPr>
        <w:t>.</w:t>
      </w:r>
    </w:p>
    <w:p w14:paraId="0000002A" w14:textId="77777777" w:rsidR="00662A54" w:rsidRDefault="00EA74E5">
      <w:pPr>
        <w:spacing w:before="220" w:after="220"/>
        <w:rPr>
          <w:b/>
          <w:color w:val="4F4F4F"/>
          <w:sz w:val="21"/>
          <w:szCs w:val="21"/>
        </w:rPr>
      </w:pPr>
      <w:r>
        <w:rPr>
          <w:b/>
          <w:color w:val="4F4F4F"/>
          <w:sz w:val="21"/>
          <w:szCs w:val="21"/>
        </w:rPr>
        <w:t>2. Application Status and Admissions Decisions</w:t>
      </w:r>
    </w:p>
    <w:p w14:paraId="0000002B" w14:textId="77777777" w:rsidR="00662A54" w:rsidRDefault="00EA74E5">
      <w:pPr>
        <w:spacing w:before="220" w:after="220"/>
        <w:rPr>
          <w:color w:val="4F4F4F"/>
          <w:sz w:val="21"/>
          <w:szCs w:val="21"/>
        </w:rPr>
      </w:pPr>
      <w:r>
        <w:rPr>
          <w:color w:val="4F4F4F"/>
          <w:sz w:val="21"/>
          <w:szCs w:val="21"/>
        </w:rPr>
        <w:t>In order for the UAC to make a decision on an application, the Office of Admissions must receive complete applications with all required supplements. Applicants who submit complete application packages by AUA’s admission deadlines will receive notification of their admission status by email, within 10 weeks after each admission deadline. Applicants who submit any new information after the published deadline to be considered by the UAC, including test retakes, will be moved to the next deadline, if available.</w:t>
      </w:r>
    </w:p>
    <w:p w14:paraId="0000002C" w14:textId="77777777" w:rsidR="00662A54" w:rsidRDefault="00EA74E5">
      <w:pPr>
        <w:spacing w:before="220" w:after="220"/>
        <w:rPr>
          <w:color w:val="4F4F4F"/>
          <w:sz w:val="21"/>
          <w:szCs w:val="21"/>
        </w:rPr>
      </w:pPr>
      <w:r>
        <w:rPr>
          <w:color w:val="4F4F4F"/>
          <w:sz w:val="21"/>
          <w:szCs w:val="21"/>
        </w:rPr>
        <w:t>Admissions decisions are final and cannot be appealed.</w:t>
      </w:r>
    </w:p>
    <w:p w14:paraId="0000002D" w14:textId="77777777" w:rsidR="00662A54" w:rsidRDefault="00EA74E5">
      <w:pPr>
        <w:spacing w:before="220" w:after="220"/>
        <w:rPr>
          <w:color w:val="4F4F4F"/>
          <w:sz w:val="21"/>
          <w:szCs w:val="21"/>
        </w:rPr>
      </w:pPr>
      <w:r>
        <w:rPr>
          <w:color w:val="4F4F4F"/>
          <w:sz w:val="21"/>
          <w:szCs w:val="21"/>
        </w:rPr>
        <w:t>Undergraduate Application Statuses are categorized as follows:</w:t>
      </w:r>
    </w:p>
    <w:p w14:paraId="0000002E" w14:textId="77777777" w:rsidR="00662A54" w:rsidRDefault="00EA74E5">
      <w:pPr>
        <w:spacing w:before="220" w:after="220"/>
        <w:rPr>
          <w:color w:val="4F4F4F"/>
          <w:sz w:val="21"/>
          <w:szCs w:val="21"/>
        </w:rPr>
      </w:pPr>
      <w:r>
        <w:rPr>
          <w:i/>
          <w:color w:val="4F4F4F"/>
          <w:sz w:val="21"/>
          <w:szCs w:val="21"/>
        </w:rPr>
        <w:t>Admission:</w:t>
      </w:r>
      <w:r>
        <w:rPr>
          <w:color w:val="4F4F4F"/>
          <w:sz w:val="21"/>
          <w:szCs w:val="21"/>
        </w:rPr>
        <w:t xml:space="preserve"> The applicant is offered admission to the program indicated in the Admission Status Letter.</w:t>
      </w:r>
    </w:p>
    <w:p w14:paraId="0000002F" w14:textId="77777777" w:rsidR="00662A54" w:rsidRDefault="00EA74E5">
      <w:pPr>
        <w:spacing w:before="220" w:after="220"/>
        <w:rPr>
          <w:color w:val="4F4F4F"/>
          <w:sz w:val="21"/>
          <w:szCs w:val="21"/>
        </w:rPr>
      </w:pPr>
      <w:r>
        <w:rPr>
          <w:i/>
          <w:color w:val="4F4F4F"/>
          <w:sz w:val="21"/>
          <w:szCs w:val="21"/>
        </w:rPr>
        <w:t>Denial:</w:t>
      </w:r>
      <w:r>
        <w:rPr>
          <w:color w:val="4F4F4F"/>
          <w:sz w:val="21"/>
          <w:szCs w:val="21"/>
        </w:rPr>
        <w:t xml:space="preserve"> The applicant is denied admission to AUA.</w:t>
      </w:r>
    </w:p>
    <w:p w14:paraId="00000030" w14:textId="77777777" w:rsidR="00662A54" w:rsidRDefault="00EA74E5">
      <w:pPr>
        <w:spacing w:before="220" w:after="220"/>
        <w:rPr>
          <w:color w:val="4F4F4F"/>
          <w:sz w:val="21"/>
          <w:szCs w:val="21"/>
        </w:rPr>
      </w:pPr>
      <w:r>
        <w:rPr>
          <w:i/>
          <w:color w:val="4F4F4F"/>
          <w:sz w:val="21"/>
          <w:szCs w:val="21"/>
        </w:rPr>
        <w:t>Deferred:</w:t>
      </w:r>
      <w:r>
        <w:rPr>
          <w:color w:val="4F4F4F"/>
          <w:sz w:val="21"/>
          <w:szCs w:val="21"/>
        </w:rPr>
        <w:t xml:space="preserve"> An applicant is deferred and moved to the following admissions deadline for further consideration. Prior to this deadline, the applicant may submit new information that may augment his/her application for Admission to Undergraduate Study. Applicants who are deferred will receive an updated Admission Status Letter during the notification period of the next deadline.</w:t>
      </w:r>
    </w:p>
    <w:p w14:paraId="00000031" w14:textId="77777777" w:rsidR="00662A54" w:rsidRDefault="00EA74E5">
      <w:pPr>
        <w:spacing w:before="240"/>
      </w:pPr>
      <w:r>
        <w:rPr>
          <w:i/>
          <w:color w:val="4F4F4F"/>
          <w:sz w:val="21"/>
          <w:szCs w:val="21"/>
        </w:rPr>
        <w:lastRenderedPageBreak/>
        <w:t>Disqualification</w:t>
      </w:r>
      <w:r>
        <w:rPr>
          <w:color w:val="4F4F4F"/>
          <w:sz w:val="21"/>
          <w:szCs w:val="21"/>
        </w:rPr>
        <w:t>: An applicant can be denied admission or disqualified due to plagiarized content, falsified/misleading information or any other unacceptable practice as stipulated in the Undergraduate Admissions policies. The UAC reserves the right to deny admission to any applicant at its own discretion if the applicant fails to exhibit exemplary personal conduct prior to enrollment.</w:t>
      </w:r>
    </w:p>
    <w:p w14:paraId="00000032" w14:textId="77777777" w:rsidR="00662A54" w:rsidRDefault="00EA74E5">
      <w:pPr>
        <w:spacing w:before="220" w:after="220"/>
        <w:rPr>
          <w:b/>
          <w:color w:val="4F4F4F"/>
          <w:sz w:val="21"/>
          <w:szCs w:val="21"/>
        </w:rPr>
      </w:pPr>
      <w:r>
        <w:rPr>
          <w:b/>
          <w:color w:val="4F4F4F"/>
          <w:sz w:val="21"/>
          <w:szCs w:val="21"/>
        </w:rPr>
        <w:t>3. Reapplication Process</w:t>
      </w:r>
    </w:p>
    <w:p w14:paraId="00000033" w14:textId="77777777" w:rsidR="00662A54" w:rsidRDefault="00EA74E5">
      <w:pPr>
        <w:spacing w:before="220" w:after="220"/>
        <w:rPr>
          <w:color w:val="4F4F4F"/>
          <w:sz w:val="21"/>
          <w:szCs w:val="21"/>
        </w:rPr>
      </w:pPr>
      <w:r>
        <w:rPr>
          <w:color w:val="4F4F4F"/>
          <w:sz w:val="21"/>
          <w:szCs w:val="21"/>
        </w:rPr>
        <w:t xml:space="preserve">Applicants whose applications were previously denied, technically ineligible, or incomplete are allowed to reapply to the same program within the same admission cycle only if they have new (higher) English or Math proficiency test scores; without these updates, the applicant has to wait for the upcoming year to reapply. </w:t>
      </w:r>
    </w:p>
    <w:p w14:paraId="00000034" w14:textId="77777777" w:rsidR="00662A54" w:rsidRDefault="00EA74E5">
      <w:pPr>
        <w:spacing w:before="220" w:after="220"/>
        <w:rPr>
          <w:color w:val="4F4F4F"/>
          <w:sz w:val="21"/>
          <w:szCs w:val="21"/>
        </w:rPr>
      </w:pPr>
      <w:r>
        <w:rPr>
          <w:color w:val="4F4F4F"/>
          <w:sz w:val="21"/>
          <w:szCs w:val="21"/>
        </w:rPr>
        <w:t>The applicant has the right to reapply to another program of interest with the same credentials for the same admission cycle.</w:t>
      </w:r>
    </w:p>
    <w:p w14:paraId="00000035" w14:textId="77777777" w:rsidR="00662A54" w:rsidRDefault="00EA74E5">
      <w:pPr>
        <w:spacing w:before="220" w:after="220"/>
        <w:rPr>
          <w:color w:val="4F4F4F"/>
          <w:sz w:val="21"/>
          <w:szCs w:val="21"/>
        </w:rPr>
      </w:pPr>
      <w:r>
        <w:rPr>
          <w:color w:val="4F4F4F"/>
          <w:sz w:val="21"/>
          <w:szCs w:val="21"/>
        </w:rPr>
        <w:t>Accepted applicants who did not enroll at AUA nor deferred their offer of admission must also reapply for the coming academic year. Reapplications will be reviewed by the UAC, and must be submitted by the published admission deadlines.</w:t>
      </w:r>
    </w:p>
    <w:p w14:paraId="00000036" w14:textId="77777777" w:rsidR="00662A54" w:rsidRDefault="00EA74E5">
      <w:pPr>
        <w:spacing w:before="220" w:after="220"/>
        <w:rPr>
          <w:color w:val="4F4F4F"/>
          <w:sz w:val="21"/>
          <w:szCs w:val="21"/>
        </w:rPr>
      </w:pPr>
      <w:proofErr w:type="spellStart"/>
      <w:r>
        <w:rPr>
          <w:color w:val="4F4F4F"/>
          <w:sz w:val="21"/>
          <w:szCs w:val="21"/>
        </w:rPr>
        <w:t>Reapplicants</w:t>
      </w:r>
      <w:proofErr w:type="spellEnd"/>
      <w:r>
        <w:rPr>
          <w:color w:val="4F4F4F"/>
          <w:sz w:val="21"/>
          <w:szCs w:val="21"/>
        </w:rPr>
        <w:t xml:space="preserve"> applying for admission within the same academic year with new test scores do not need to resubmit transcript(s), diploma(s), certificate(s), and other attachments already submitted with their initial application for Admission to Undergraduate Study.</w:t>
      </w:r>
    </w:p>
    <w:p w14:paraId="00000037" w14:textId="77777777" w:rsidR="00662A54" w:rsidRDefault="00EA74E5">
      <w:pPr>
        <w:spacing w:before="220" w:after="220"/>
        <w:rPr>
          <w:b/>
          <w:color w:val="4F4F4F"/>
          <w:sz w:val="21"/>
          <w:szCs w:val="21"/>
        </w:rPr>
      </w:pPr>
      <w:r>
        <w:rPr>
          <w:b/>
          <w:color w:val="4F4F4F"/>
          <w:sz w:val="21"/>
          <w:szCs w:val="21"/>
        </w:rPr>
        <w:t>4. Verification of Credentials</w:t>
      </w:r>
    </w:p>
    <w:p w14:paraId="00000038" w14:textId="77777777" w:rsidR="00662A54" w:rsidRDefault="00EA74E5">
      <w:pPr>
        <w:spacing w:before="220" w:after="220"/>
        <w:rPr>
          <w:color w:val="4F4F4F"/>
          <w:sz w:val="21"/>
          <w:szCs w:val="21"/>
        </w:rPr>
      </w:pPr>
      <w:r>
        <w:rPr>
          <w:color w:val="4F4F4F"/>
          <w:sz w:val="21"/>
          <w:szCs w:val="21"/>
        </w:rPr>
        <w:t>AUA’s Office of Admissions reserves the right to verify the information listed in the application and any additional documents submitted during the admissions process. Intentionally giving false or misleading information in the application will result in the rejection of the application.</w:t>
      </w:r>
    </w:p>
    <w:p w14:paraId="00000039" w14:textId="77777777" w:rsidR="00662A54" w:rsidRDefault="00EA74E5">
      <w:pPr>
        <w:spacing w:before="220" w:after="220"/>
        <w:rPr>
          <w:b/>
          <w:color w:val="4F4F4F"/>
          <w:sz w:val="21"/>
          <w:szCs w:val="21"/>
        </w:rPr>
      </w:pPr>
      <w:r>
        <w:rPr>
          <w:b/>
          <w:color w:val="4F4F4F"/>
          <w:sz w:val="21"/>
          <w:szCs w:val="21"/>
        </w:rPr>
        <w:t>5. Responding to Offers</w:t>
      </w:r>
    </w:p>
    <w:p w14:paraId="0000003A" w14:textId="77777777" w:rsidR="00662A54" w:rsidRDefault="00EA74E5">
      <w:pPr>
        <w:spacing w:before="220" w:after="220"/>
        <w:rPr>
          <w:color w:val="4F4F4F"/>
          <w:sz w:val="21"/>
          <w:szCs w:val="21"/>
        </w:rPr>
      </w:pPr>
      <w:r>
        <w:rPr>
          <w:color w:val="4F4F4F"/>
          <w:sz w:val="21"/>
          <w:szCs w:val="21"/>
        </w:rPr>
        <w:t>Along with the offer of admission, applicants receive a link to the Intent to Enroll Form. Admitted students must complete this form by the indicated deadline mentioned on the Intent to Enroll form to confirm their seat in the particular class to which they have been admitted. Admitted students who fail to submit a complete Intent to Enroll form on time risk losing their seats.</w:t>
      </w:r>
    </w:p>
    <w:p w14:paraId="0000003B" w14:textId="77777777" w:rsidR="00662A54" w:rsidRDefault="00EA74E5">
      <w:pPr>
        <w:spacing w:before="220" w:after="220"/>
        <w:rPr>
          <w:b/>
          <w:color w:val="4F4F4F"/>
          <w:sz w:val="21"/>
          <w:szCs w:val="21"/>
        </w:rPr>
      </w:pPr>
      <w:r>
        <w:rPr>
          <w:b/>
          <w:color w:val="4F4F4F"/>
          <w:sz w:val="21"/>
          <w:szCs w:val="21"/>
        </w:rPr>
        <w:t>6. Return of Application Materials</w:t>
      </w:r>
    </w:p>
    <w:p w14:paraId="0000003C" w14:textId="77777777" w:rsidR="00662A54" w:rsidRDefault="00EA74E5">
      <w:pPr>
        <w:spacing w:before="220" w:after="220"/>
        <w:rPr>
          <w:color w:val="4F4F4F"/>
          <w:sz w:val="21"/>
          <w:szCs w:val="21"/>
        </w:rPr>
      </w:pPr>
      <w:r>
        <w:rPr>
          <w:color w:val="4F4F4F"/>
          <w:sz w:val="21"/>
          <w:szCs w:val="21"/>
        </w:rPr>
        <w:t>Once submitted, the application for Admission to Undergraduate Study and all supplemental documents become the property of the American University of Armenia and will not be returned to the applicant.</w:t>
      </w:r>
    </w:p>
    <w:p w14:paraId="0000003D" w14:textId="77777777" w:rsidR="00662A54" w:rsidRDefault="00EA74E5">
      <w:pPr>
        <w:spacing w:before="220" w:after="220"/>
        <w:rPr>
          <w:b/>
          <w:color w:val="4F4F4F"/>
          <w:sz w:val="21"/>
          <w:szCs w:val="21"/>
        </w:rPr>
      </w:pPr>
      <w:r>
        <w:rPr>
          <w:b/>
          <w:color w:val="4F4F4F"/>
          <w:sz w:val="21"/>
          <w:szCs w:val="21"/>
        </w:rPr>
        <w:t>7. Submitting Applicant - Specific Inquiries</w:t>
      </w:r>
    </w:p>
    <w:p w14:paraId="0000003E" w14:textId="77777777" w:rsidR="00662A54" w:rsidRDefault="00EA74E5">
      <w:pPr>
        <w:spacing w:before="220" w:after="220"/>
        <w:rPr>
          <w:color w:val="4F4F4F"/>
          <w:sz w:val="21"/>
          <w:szCs w:val="21"/>
        </w:rPr>
      </w:pPr>
      <w:r>
        <w:rPr>
          <w:color w:val="4F4F4F"/>
          <w:sz w:val="21"/>
          <w:szCs w:val="21"/>
        </w:rPr>
        <w:t>All questions relating to the status of an applicant must be submitted directly by the applicant to the Office of Admissions.</w:t>
      </w:r>
    </w:p>
    <w:p w14:paraId="0000003F" w14:textId="77777777" w:rsidR="00662A54" w:rsidRDefault="00662A54"/>
    <w:sectPr w:rsidR="00662A54">
      <w:headerReference w:type="default" r:id="rId1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B2CB3C" w14:textId="77777777" w:rsidR="008C751F" w:rsidRDefault="008C751F">
      <w:pPr>
        <w:spacing w:line="240" w:lineRule="auto"/>
      </w:pPr>
      <w:r>
        <w:separator/>
      </w:r>
    </w:p>
  </w:endnote>
  <w:endnote w:type="continuationSeparator" w:id="0">
    <w:p w14:paraId="39717593" w14:textId="77777777" w:rsidR="008C751F" w:rsidRDefault="008C75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0D7599" w14:textId="77777777" w:rsidR="008C751F" w:rsidRDefault="008C751F">
      <w:pPr>
        <w:spacing w:line="240" w:lineRule="auto"/>
      </w:pPr>
      <w:r>
        <w:separator/>
      </w:r>
    </w:p>
  </w:footnote>
  <w:footnote w:type="continuationSeparator" w:id="0">
    <w:p w14:paraId="3ACFF705" w14:textId="77777777" w:rsidR="008C751F" w:rsidRDefault="008C75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40" w14:textId="77777777" w:rsidR="00662A54" w:rsidRDefault="00EA74E5">
    <w:r>
      <w:t>Undergraduate Admissions Policy</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CC2E93"/>
    <w:multiLevelType w:val="multilevel"/>
    <w:tmpl w:val="03BE123C"/>
    <w:lvl w:ilvl="0">
      <w:start w:val="1"/>
      <w:numFmt w:val="bullet"/>
      <w:lvlText w:val="●"/>
      <w:lvlJc w:val="left"/>
      <w:pPr>
        <w:ind w:left="720" w:hanging="360"/>
      </w:pPr>
      <w:rPr>
        <w:color w:val="000000"/>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76965E8"/>
    <w:multiLevelType w:val="multilevel"/>
    <w:tmpl w:val="709C98A0"/>
    <w:lvl w:ilvl="0">
      <w:start w:val="1"/>
      <w:numFmt w:val="bullet"/>
      <w:lvlText w:val="●"/>
      <w:lvlJc w:val="left"/>
      <w:pPr>
        <w:ind w:left="720" w:hanging="360"/>
      </w:pPr>
      <w:rPr>
        <w:color w:val="4F4F4F"/>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58F6BA2"/>
    <w:multiLevelType w:val="multilevel"/>
    <w:tmpl w:val="0E9E26B4"/>
    <w:lvl w:ilvl="0">
      <w:start w:val="1"/>
      <w:numFmt w:val="bullet"/>
      <w:lvlText w:val="●"/>
      <w:lvlJc w:val="left"/>
      <w:pPr>
        <w:ind w:left="720" w:hanging="360"/>
      </w:pPr>
      <w:rPr>
        <w:color w:val="4F4F4F"/>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A406622"/>
    <w:multiLevelType w:val="multilevel"/>
    <w:tmpl w:val="E6AA8834"/>
    <w:lvl w:ilvl="0">
      <w:start w:val="1"/>
      <w:numFmt w:val="bullet"/>
      <w:lvlText w:val="●"/>
      <w:lvlJc w:val="left"/>
      <w:pPr>
        <w:ind w:left="720" w:hanging="360"/>
      </w:pPr>
      <w:rPr>
        <w:color w:val="000000"/>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EBB48B5"/>
    <w:multiLevelType w:val="multilevel"/>
    <w:tmpl w:val="248C8AA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A54"/>
    <w:rsid w:val="00662A54"/>
    <w:rsid w:val="006F7D0F"/>
    <w:rsid w:val="008B5ACB"/>
    <w:rsid w:val="008C751F"/>
    <w:rsid w:val="00EA74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D55D2"/>
  <w15:docId w15:val="{B86E9917-A154-44BC-A314-130862EA2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6F7D0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7D0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admissions.aua.am/apply" TargetMode="External"/><Relationship Id="rId13" Type="http://schemas.openxmlformats.org/officeDocument/2006/relationships/hyperlink" Target="https://admissions.aua.am/ugrad/application-requirement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olicies.aua.am/policy/169" TargetMode="External"/><Relationship Id="rId12" Type="http://schemas.openxmlformats.org/officeDocument/2006/relationships/hyperlink" Target="https://policies.aua.am/policy/154"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admissions.aua.am/undergraduate/application-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dmissions.aua.am/application-requirements/" TargetMode="External"/><Relationship Id="rId5" Type="http://schemas.openxmlformats.org/officeDocument/2006/relationships/footnotes" Target="footnotes.xml"/><Relationship Id="rId15" Type="http://schemas.openxmlformats.org/officeDocument/2006/relationships/hyperlink" Target="http://admissions.aua.am/undergraduate/" TargetMode="External"/><Relationship Id="rId10" Type="http://schemas.openxmlformats.org/officeDocument/2006/relationships/hyperlink" Target="http://admissions.aua.am/application-requirement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admissions.aua.am/application-requirements/)" TargetMode="External"/><Relationship Id="rId14" Type="http://schemas.openxmlformats.org/officeDocument/2006/relationships/hyperlink" Target="https://admissions.aua.am/ugrad/selec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1596</Words>
  <Characters>9278</Characters>
  <Application>Microsoft Office Word</Application>
  <DocSecurity>0</DocSecurity>
  <Lines>152</Lines>
  <Paragraphs>76</Paragraphs>
  <ScaleCrop>false</ScaleCrop>
  <Company/>
  <LinksUpToDate>false</LinksUpToDate>
  <CharactersWithSpaces>10798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Marine Tarakjian</cp:lastModifiedBy>
  <cp:revision>3</cp:revision>
  <cp:lastPrinted>2023-10-24T08:55:00Z</cp:lastPrinted>
  <dcterms:created xsi:type="dcterms:W3CDTF">2023-10-24T08:55:00Z</dcterms:created>
  <dcterms:modified xsi:type="dcterms:W3CDTF">2023-10-24T08:57:00Z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4ad8871911e65ea5c595173702be7119648fb42f2caf5b5e8e643b5266dc5d18</vt:lpwstr>
  </property>
</Properties>
</file>