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Book Antiqua" w:cs="Book Antiqua" w:eastAsia="Book Antiqua" w:hAnsi="Book Antiqua"/>
          <w:sz w:val="24"/>
          <w:szCs w:val="24"/>
          <w:rtl w:val="0"/>
        </w:rPr>
        <w:t xml:space="preserve"> Faculty Senate Meeting</w:t>
      </w:r>
    </w:p>
    <w:p w:rsidR="00000000" w:rsidDel="00000000" w:rsidP="00000000" w:rsidRDefault="00000000" w:rsidRPr="00000000">
      <w:pPr>
        <w:spacing w:line="276" w:lineRule="auto"/>
        <w:contextualSpacing w:val="0"/>
        <w:jc w:val="center"/>
      </w:pPr>
      <w:r w:rsidDel="00000000" w:rsidR="00000000" w:rsidRPr="00000000">
        <w:rPr>
          <w:rFonts w:ascii="Book Antiqua" w:cs="Book Antiqua" w:eastAsia="Book Antiqua" w:hAnsi="Book Antiqua"/>
          <w:sz w:val="24"/>
          <w:szCs w:val="24"/>
          <w:rtl w:val="0"/>
        </w:rPr>
        <w:t xml:space="preserve">November 17, 2016</w:t>
      </w:r>
    </w:p>
    <w:p w:rsidR="00000000" w:rsidDel="00000000" w:rsidP="00000000" w:rsidRDefault="00000000" w:rsidRPr="00000000">
      <w:pPr>
        <w:tabs>
          <w:tab w:val="left" w:pos="3270"/>
        </w:tabs>
        <w:spacing w:line="276" w:lineRule="auto"/>
        <w:contextualSpacing w:val="0"/>
      </w:pPr>
      <w:r w:rsidDel="00000000" w:rsidR="00000000" w:rsidRPr="00000000">
        <w:rPr>
          <w:rFonts w:ascii="Book Antiqua" w:cs="Book Antiqua" w:eastAsia="Book Antiqua" w:hAnsi="Book Antiqua"/>
          <w:sz w:val="24"/>
          <w:szCs w:val="24"/>
          <w:rtl w:val="0"/>
        </w:rPr>
        <w:tab/>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Quorum called at 16:05</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Present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Gayane Barseghyan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Mane Beglaryan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David Davidian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Gagik Gabrielyan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Louisa Harutyunyan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Tsovinar Harutyunyan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Aram Keryan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Irshat Madyarov</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Hayk Mamajanyan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Elham Shayegh</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Arto Vaun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Excused/Absent: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Arthur Khalatyan</w:t>
      </w:r>
    </w:p>
    <w:p w:rsidR="00000000" w:rsidDel="00000000" w:rsidP="00000000" w:rsidRDefault="00000000" w:rsidRPr="00000000">
      <w:pPr>
        <w:numPr>
          <w:ilvl w:val="2"/>
          <w:numId w:val="1"/>
        </w:numPr>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Jenny Patuyan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Absent</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Agassi Manoukian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Natella Mirzoyan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Karen Sarkavagyan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Vahram Ter-Matevosyan</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Guests</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Simon Clarke</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Sharistan Melkonian</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Approval of the agenda</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bookmarkStart w:colFirst="0" w:colLast="0" w:name="_gjdgxs" w:id="0"/>
      <w:bookmarkEnd w:id="0"/>
      <w:r w:rsidDel="00000000" w:rsidR="00000000" w:rsidRPr="00000000">
        <w:rPr>
          <w:rFonts w:ascii="Book Antiqua" w:cs="Book Antiqua" w:eastAsia="Book Antiqua" w:hAnsi="Book Antiqua"/>
          <w:sz w:val="24"/>
          <w:szCs w:val="24"/>
          <w:rtl w:val="0"/>
        </w:rPr>
        <w:t xml:space="preserve">Unanimous approval</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Approval of the minutes from October 27, 2016</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bookmarkStart w:colFirst="0" w:colLast="0" w:name="_30j0zll" w:id="1"/>
      <w:bookmarkEnd w:id="1"/>
      <w:r w:rsidDel="00000000" w:rsidR="00000000" w:rsidRPr="00000000">
        <w:rPr>
          <w:rFonts w:ascii="Book Antiqua" w:cs="Book Antiqua" w:eastAsia="Book Antiqua" w:hAnsi="Book Antiqua"/>
          <w:sz w:val="24"/>
          <w:szCs w:val="24"/>
          <w:rtl w:val="0"/>
        </w:rPr>
        <w:t xml:space="preserve">Changes and corrections were suggested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bookmarkStart w:colFirst="0" w:colLast="0" w:name="_1fob9te" w:id="2"/>
      <w:bookmarkEnd w:id="2"/>
      <w:r w:rsidDel="00000000" w:rsidR="00000000" w:rsidRPr="00000000">
        <w:rPr>
          <w:rFonts w:ascii="Book Antiqua" w:cs="Book Antiqua" w:eastAsia="Book Antiqua" w:hAnsi="Book Antiqua"/>
          <w:sz w:val="24"/>
          <w:szCs w:val="24"/>
          <w:rtl w:val="0"/>
        </w:rPr>
        <w:t xml:space="preserve">Unanimous approval</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bookmarkStart w:colFirst="0" w:colLast="0" w:name="_3znysh7" w:id="3"/>
      <w:bookmarkEnd w:id="3"/>
      <w:r w:rsidDel="00000000" w:rsidR="00000000" w:rsidRPr="00000000">
        <w:rPr>
          <w:rFonts w:ascii="Book Antiqua" w:cs="Book Antiqua" w:eastAsia="Book Antiqua" w:hAnsi="Book Antiqua"/>
          <w:sz w:val="24"/>
          <w:szCs w:val="24"/>
          <w:rtl w:val="0"/>
        </w:rPr>
        <w:t xml:space="preserve">Short discussion on removing the military deferment from the graduate admission document and adding it to the admission policies on the AUA website. The change was approved (Yes: 9 No: 0 Abstain: 2).</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Reports from Committees:</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Curriculum Committee</w:t>
      </w:r>
      <w:r w:rsidDel="00000000" w:rsidR="00000000" w:rsidRPr="00000000">
        <w:rPr>
          <w:rFonts w:ascii="Book Antiqua" w:cs="Book Antiqua" w:eastAsia="Book Antiqua" w:hAnsi="Book Antiqua"/>
          <w:color w:val="000000"/>
          <w:sz w:val="24"/>
          <w:szCs w:val="24"/>
          <w:highlight w:val="white"/>
          <w:rtl w:val="0"/>
        </w:rPr>
        <w:t xml:space="preserve">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Will meet in the late November and report in the early December.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Ethics &amp; Grievance Committee by Arto Vaun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 current cases.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rFonts w:ascii="Book Antiqua" w:cs="Book Antiqua" w:eastAsia="Book Antiqua" w:hAnsi="Book Antiqua"/>
          <w:b w:val="0"/>
          <w:i w:val="0"/>
          <w:smallCaps w:val="0"/>
          <w:strike w:val="0"/>
          <w:color w:val="000000"/>
          <w:sz w:val="24"/>
          <w:szCs w:val="24"/>
          <w:vertAlign w:val="baseline"/>
        </w:rPr>
      </w:pPr>
      <w:r w:rsidDel="00000000" w:rsidR="00000000" w:rsidRPr="00000000">
        <w:rPr>
          <w:rFonts w:ascii="Book Antiqua" w:cs="Book Antiqua" w:eastAsia="Book Antiqua" w:hAnsi="Book Antiqua"/>
          <w:sz w:val="24"/>
          <w:szCs w:val="24"/>
          <w:rtl w:val="0"/>
        </w:rPr>
        <w:t xml:space="preserve">Student Learning Committee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student learning survey is in progress, will be conducted soon.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Committee on implementing recruitment and retention faculty packages </w:t>
      </w:r>
      <w:r w:rsidDel="00000000" w:rsidR="00000000" w:rsidRPr="00000000">
        <w:rPr>
          <w:rFonts w:ascii="Book Antiqua" w:cs="Book Antiqua" w:eastAsia="Book Antiqua" w:hAnsi="Book Antiqua"/>
          <w:color w:val="000000"/>
          <w:sz w:val="24"/>
          <w:szCs w:val="24"/>
          <w:highlight w:val="white"/>
          <w:rtl w:val="0"/>
        </w:rPr>
        <w:t xml:space="preserve">by</w:t>
      </w:r>
      <w:r w:rsidDel="00000000" w:rsidR="00000000" w:rsidRPr="00000000">
        <w:rPr>
          <w:rFonts w:ascii="Book Antiqua" w:cs="Book Antiqua" w:eastAsia="Book Antiqua" w:hAnsi="Book Antiqua"/>
          <w:sz w:val="24"/>
          <w:szCs w:val="24"/>
          <w:rtl w:val="0"/>
        </w:rPr>
        <w:t xml:space="preserve"> Irshat Madyarov</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color w:val="000000"/>
          <w:sz w:val="24"/>
          <w:szCs w:val="24"/>
          <w:highlight w:val="white"/>
          <w:rtl w:val="0"/>
        </w:rPr>
        <w:t xml:space="preserve">The committee has been working on recommendations for issues including faculty relocation allowance, salaries, and housing. The three groups are working to create a draft proposal before January when the next year’s budget is approved: </w:t>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b w:val="1"/>
          <w:sz w:val="24"/>
          <w:szCs w:val="24"/>
          <w:rtl w:val="0"/>
        </w:rPr>
        <w:t xml:space="preserve">Finances</w:t>
      </w:r>
      <w:r w:rsidDel="00000000" w:rsidR="00000000" w:rsidRPr="00000000">
        <w:rPr>
          <w:rFonts w:ascii="Book Antiqua" w:cs="Book Antiqua" w:eastAsia="Book Antiqua" w:hAnsi="Book Antiqua"/>
          <w:sz w:val="24"/>
          <w:szCs w:val="24"/>
          <w:rtl w:val="0"/>
        </w:rPr>
        <w:t xml:space="preserve">: Having inquired the HR department about the faculty health insurance, they learnt that the faculty members can use different health care providers recognized by the university (or their own personal insurance), pay the expenses, and then go through the payment procedure with the HR department. </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b w:val="1"/>
          <w:sz w:val="24"/>
          <w:szCs w:val="24"/>
          <w:rtl w:val="0"/>
        </w:rPr>
        <w:t xml:space="preserve">Faculty and family support</w:t>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sz w:val="24"/>
          <w:szCs w:val="24"/>
          <w:rtl w:val="0"/>
        </w:rPr>
        <w:t xml:space="preserve">Could use the surveys conducted by </w:t>
      </w:r>
      <w:r w:rsidDel="00000000" w:rsidR="00000000" w:rsidRPr="00000000">
        <w:rPr>
          <w:rFonts w:ascii="Book Antiqua" w:cs="Book Antiqua" w:eastAsia="Book Antiqua" w:hAnsi="Book Antiqua"/>
          <w:sz w:val="24"/>
          <w:szCs w:val="24"/>
          <w:rtl w:val="0"/>
        </w:rPr>
        <w:t xml:space="preserve">IRO department on the </w:t>
      </w:r>
      <w:r w:rsidDel="00000000" w:rsidR="00000000" w:rsidRPr="00000000">
        <w:rPr>
          <w:rFonts w:ascii="Book Antiqua" w:cs="Book Antiqua" w:eastAsia="Book Antiqua" w:hAnsi="Book Antiqua"/>
          <w:color w:val="222222"/>
          <w:sz w:val="24"/>
          <w:szCs w:val="24"/>
          <w:highlight w:val="white"/>
          <w:rtl w:val="0"/>
        </w:rPr>
        <w:t xml:space="preserve">new faculty orientation to reflect on the new faculty’s initial experience at AUA.</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rFonts w:ascii="Book Antiqua" w:cs="Book Antiqua" w:eastAsia="Book Antiqua" w:hAnsi="Book Antiqua"/>
          <w:color w:val="000000"/>
          <w:sz w:val="24"/>
          <w:szCs w:val="24"/>
          <w:highlight w:val="white"/>
        </w:rPr>
      </w:pPr>
      <w:r w:rsidDel="00000000" w:rsidR="00000000" w:rsidRPr="00000000">
        <w:rPr>
          <w:rFonts w:ascii="Book Antiqua" w:cs="Book Antiqua" w:eastAsia="Book Antiqua" w:hAnsi="Book Antiqua"/>
          <w:b w:val="1"/>
          <w:sz w:val="24"/>
          <w:szCs w:val="24"/>
          <w:rtl w:val="0"/>
        </w:rPr>
        <w:t xml:space="preserve">Professional development</w:t>
      </w:r>
      <w:r w:rsidDel="00000000" w:rsidR="00000000" w:rsidRPr="00000000">
        <w:rPr>
          <w:rFonts w:ascii="Book Antiqua" w:cs="Book Antiqua" w:eastAsia="Book Antiqua" w:hAnsi="Book Antiqua"/>
          <w:sz w:val="24"/>
          <w:szCs w:val="24"/>
          <w:rtl w:val="0"/>
        </w:rPr>
        <w:t xml:space="preserve">: will meet before the end of November.</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Extension Committee by Tsovinar Harutyunyan: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Working to finalize the student charges against AUA</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Meeting with Sergey Tantushyan</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Seeking specific definition of EC responsibilities/charges which have not been updated on the website (the newest version is from 2007)</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Executive Committee met last week.  </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Discussion of the “Specific Tactics to be Initiated” for the Action Priorities of 2016-2017. What actions should be taken regarding each goal?</w:t>
      </w:r>
    </w:p>
    <w:p w:rsidR="00000000" w:rsidDel="00000000" w:rsidP="00000000" w:rsidRDefault="00000000" w:rsidRPr="00000000">
      <w:pPr>
        <w:numPr>
          <w:ilvl w:val="3"/>
          <w:numId w:val="1"/>
        </w:numPr>
        <w:spacing w:after="0" w:before="0" w:lineRule="auto"/>
        <w:ind w:left="288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Goal 1.9. (the Information Literacy and Writing Across the Curriculum) to be handled by the </w:t>
      </w:r>
      <w:r w:rsidDel="00000000" w:rsidR="00000000" w:rsidRPr="00000000">
        <w:rPr>
          <w:rFonts w:ascii="Book Antiqua" w:cs="Book Antiqua" w:eastAsia="Book Antiqua" w:hAnsi="Book Antiqua"/>
          <w:i w:val="1"/>
          <w:sz w:val="24"/>
          <w:szCs w:val="24"/>
          <w:rtl w:val="0"/>
        </w:rPr>
        <w:t xml:space="preserve">Student Learning Committee</w:t>
      </w: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pPr>
        <w:numPr>
          <w:ilvl w:val="3"/>
          <w:numId w:val="1"/>
        </w:numPr>
        <w:spacing w:after="0" w:before="0" w:lineRule="auto"/>
        <w:ind w:left="288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Goal 2.2. the </w:t>
      </w:r>
      <w:r w:rsidDel="00000000" w:rsidR="00000000" w:rsidRPr="00000000">
        <w:rPr>
          <w:rFonts w:ascii="Book Antiqua" w:cs="Book Antiqua" w:eastAsia="Book Antiqua" w:hAnsi="Book Antiqua"/>
          <w:i w:val="1"/>
          <w:sz w:val="24"/>
          <w:szCs w:val="24"/>
          <w:rtl w:val="0"/>
        </w:rPr>
        <w:t xml:space="preserve">Faculty Research and Teaching Awards</w:t>
      </w:r>
      <w:r w:rsidDel="00000000" w:rsidR="00000000" w:rsidRPr="00000000">
        <w:rPr>
          <w:rFonts w:ascii="Book Antiqua" w:cs="Book Antiqua" w:eastAsia="Book Antiqua" w:hAnsi="Book Antiqua"/>
          <w:sz w:val="24"/>
          <w:szCs w:val="24"/>
          <w:rtl w:val="0"/>
        </w:rPr>
        <w:t xml:space="preserve"> team has been working on this goal.</w:t>
      </w:r>
    </w:p>
    <w:p w:rsidR="00000000" w:rsidDel="00000000" w:rsidP="00000000" w:rsidRDefault="00000000" w:rsidRPr="00000000">
      <w:pPr>
        <w:numPr>
          <w:ilvl w:val="3"/>
          <w:numId w:val="1"/>
        </w:numPr>
        <w:spacing w:after="0" w:before="0" w:lineRule="auto"/>
        <w:ind w:left="288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Goal 3.1. progressing.  </w:t>
      </w:r>
    </w:p>
    <w:p w:rsidR="00000000" w:rsidDel="00000000" w:rsidP="00000000" w:rsidRDefault="00000000" w:rsidRPr="00000000">
      <w:pPr>
        <w:numPr>
          <w:ilvl w:val="3"/>
          <w:numId w:val="1"/>
        </w:numPr>
        <w:spacing w:after="0" w:before="0" w:lineRule="auto"/>
        <w:ind w:left="288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Goal 4.1. progressing.</w:t>
      </w:r>
    </w:p>
    <w:p w:rsidR="00000000" w:rsidDel="00000000" w:rsidP="00000000" w:rsidRDefault="00000000" w:rsidRPr="00000000">
      <w:pPr>
        <w:numPr>
          <w:ilvl w:val="3"/>
          <w:numId w:val="1"/>
        </w:numPr>
        <w:spacing w:after="0" w:before="0" w:lineRule="auto"/>
        <w:ind w:left="288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Goal 4.3. The recommended actions: </w:t>
      </w:r>
    </w:p>
    <w:p w:rsidR="00000000" w:rsidDel="00000000" w:rsidP="00000000" w:rsidRDefault="00000000" w:rsidRPr="00000000">
      <w:pPr>
        <w:numPr>
          <w:ilvl w:val="4"/>
          <w:numId w:val="1"/>
        </w:numPr>
        <w:spacing w:after="0" w:before="0"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Forming a work-group of FS members to study the possible FS compositions and benchmark against peer institutions.</w:t>
      </w:r>
    </w:p>
    <w:p w:rsidR="00000000" w:rsidDel="00000000" w:rsidP="00000000" w:rsidRDefault="00000000" w:rsidRPr="00000000">
      <w:pPr>
        <w:numPr>
          <w:ilvl w:val="4"/>
          <w:numId w:val="1"/>
        </w:numPr>
        <w:spacing w:after="0" w:before="0"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Coming up with a list of faculty members with past experience serving in the FS abroad/US and invite them to participate in the work group.   </w:t>
      </w:r>
    </w:p>
    <w:p w:rsidR="00000000" w:rsidDel="00000000" w:rsidP="00000000" w:rsidRDefault="00000000" w:rsidRPr="00000000">
      <w:pPr>
        <w:numPr>
          <w:ilvl w:val="2"/>
          <w:numId w:val="1"/>
        </w:numPr>
        <w:spacing w:after="0" w:before="0"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FS Discussion: </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is necessary to define the scope and responsibilities of the FS</w:t>
      </w:r>
    </w:p>
    <w:p w:rsidR="00000000" w:rsidDel="00000000" w:rsidP="00000000" w:rsidRDefault="00000000" w:rsidRPr="00000000">
      <w:pPr>
        <w:numPr>
          <w:ilvl w:val="4"/>
          <w:numId w:val="1"/>
        </w:numPr>
        <w:spacing w:after="0" w:before="0" w:line="276"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work-group will start studying both the AUA FS (its current by-laws and duties) and the FS of the universities in the US, </w:t>
      </w:r>
    </w:p>
    <w:p w:rsidR="00000000" w:rsidDel="00000000" w:rsidP="00000000" w:rsidRDefault="00000000" w:rsidRPr="00000000">
      <w:pPr>
        <w:numPr>
          <w:ilvl w:val="4"/>
          <w:numId w:val="1"/>
        </w:numPr>
        <w:spacing w:after="0" w:before="0" w:line="276"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Gayane Barseghyan, Gagik Gabrielyan, Elham Shayegh, and Arto Vaun agreed to start this work-group. </w:t>
      </w:r>
    </w:p>
    <w:p w:rsidR="00000000" w:rsidDel="00000000" w:rsidP="00000000" w:rsidRDefault="00000000" w:rsidRPr="00000000">
      <w:pPr>
        <w:numPr>
          <w:ilvl w:val="4"/>
          <w:numId w:val="1"/>
        </w:numPr>
        <w:spacing w:after="0" w:before="0" w:line="276" w:lineRule="auto"/>
        <w:ind w:left="360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group is open to other members and the faculty who have experience serving in the FS abroad. </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Faculty evaluation: Discussion </w:t>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Why is evaluation necessary?</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is a way of building up and measuring one’s professional and academic development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It can tie into the faculty promotion and contract renewal</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Most cases of </w:t>
      </w:r>
      <w:r w:rsidDel="00000000" w:rsidR="00000000" w:rsidRPr="00000000">
        <w:rPr>
          <w:rFonts w:ascii="Book Antiqua" w:cs="Book Antiqua" w:eastAsia="Book Antiqua" w:hAnsi="Book Antiqua"/>
          <w:i w:val="1"/>
          <w:sz w:val="24"/>
          <w:szCs w:val="24"/>
          <w:rtl w:val="0"/>
        </w:rPr>
        <w:t xml:space="preserve">Ethics and Grievance</w:t>
      </w:r>
      <w:r w:rsidDel="00000000" w:rsidR="00000000" w:rsidRPr="00000000">
        <w:rPr>
          <w:rFonts w:ascii="Book Antiqua" w:cs="Book Antiqua" w:eastAsia="Book Antiqua" w:hAnsi="Book Antiqua"/>
          <w:sz w:val="24"/>
          <w:szCs w:val="24"/>
          <w:rtl w:val="0"/>
        </w:rPr>
        <w:t xml:space="preserve"> committee are related to the renewal of contract; without an organized evaluation system it is difficult to make a decision about the cases. </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76" w:lineRule="auto"/>
        <w:ind w:left="1440" w:right="0" w:hanging="360"/>
        <w:jc w:val="left"/>
        <w:rPr>
          <w:rFonts w:ascii="Book Antiqua" w:cs="Book Antiqua" w:eastAsia="Book Antiqua" w:hAnsi="Book Antiqua"/>
          <w:b w:val="0"/>
          <w:i w:val="0"/>
          <w:smallCaps w:val="0"/>
          <w:strike w:val="0"/>
          <w:color w:val="000000"/>
          <w:sz w:val="24"/>
          <w:szCs w:val="24"/>
          <w:vertAlign w:val="baseline"/>
        </w:rPr>
      </w:pPr>
      <w:r w:rsidDel="00000000" w:rsidR="00000000" w:rsidRPr="00000000">
        <w:rPr>
          <w:rFonts w:ascii="Book Antiqua" w:cs="Book Antiqua" w:eastAsia="Book Antiqua" w:hAnsi="Book Antiqua"/>
          <w:sz w:val="24"/>
          <w:szCs w:val="24"/>
          <w:rtl w:val="0"/>
        </w:rPr>
        <w:t xml:space="preserve">Why is evaluation unnecessary?  Or a better way of asking the question is what kind of evaluation is unnecessary?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Evaluations that are too time consuming or complicated</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Evaluations that are not connected to the general goal and orientation of the AUA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What methods could be used?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HR Web and other web-based platforms were suggested</w:t>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AUA old model could be revised and used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The FS voted in favor of the old model (Yes: 10 No: 0 Abstain: 1)</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Enquire the Provost’s opinion on the subject before implementing the suggestion. </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 form a work-group to work on the old system of evaluation and update it based on the current needs and academic goals.</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General Faculty Assembly: to be scheduled in the mid December. The calendar will be circulated and date will be decided based on everyone’s availability.  </w:t>
      </w:r>
    </w:p>
    <w:p w:rsidR="00000000" w:rsidDel="00000000" w:rsidP="00000000" w:rsidRDefault="00000000" w:rsidRPr="00000000">
      <w:pPr>
        <w:numPr>
          <w:ilvl w:val="0"/>
          <w:numId w:val="1"/>
        </w:numPr>
        <w:spacing w:after="0" w:before="0" w:line="276" w:lineRule="auto"/>
        <w:ind w:left="720" w:hanging="360"/>
        <w:contextualSpacing w:val="1"/>
        <w:rPr>
          <w:rFonts w:ascii="Book Antiqua" w:cs="Book Antiqua" w:eastAsia="Book Antiqua" w:hAnsi="Book Antiqua"/>
          <w:sz w:val="24"/>
          <w:szCs w:val="24"/>
        </w:rPr>
      </w:pPr>
      <w:r w:rsidDel="00000000" w:rsidR="00000000" w:rsidRPr="00000000">
        <w:rPr>
          <w:rFonts w:ascii="Book Antiqua" w:cs="Book Antiqua" w:eastAsia="Book Antiqua" w:hAnsi="Book Antiqua"/>
          <w:color w:val="222222"/>
          <w:sz w:val="24"/>
          <w:szCs w:val="24"/>
          <w:highlight w:val="white"/>
          <w:rtl w:val="0"/>
        </w:rPr>
        <w:t xml:space="preserve">Meeting ended at </w:t>
      </w:r>
      <w:r w:rsidDel="00000000" w:rsidR="00000000" w:rsidRPr="00000000">
        <w:rPr>
          <w:rFonts w:ascii="Book Antiqua" w:cs="Book Antiqua" w:eastAsia="Book Antiqua" w:hAnsi="Book Antiqua"/>
          <w:color w:val="222222"/>
          <w:sz w:val="24"/>
          <w:szCs w:val="24"/>
          <w:rtl w:val="0"/>
        </w:rPr>
        <w:t xml:space="preserve">17:40.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Book Antiqua" w:cs="Book Antiqua" w:eastAsia="Book Antiqua" w:hAnsi="Book Antiqua"/>
          <w:sz w:val="24"/>
          <w:szCs w:val="24"/>
          <w:rtl w:val="0"/>
        </w:rPr>
        <w:t xml:space="preserve">Minutes taken by Elham Shayegh.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decimal"/>
      <w:lvlText w:val="%4."/>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